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A861" w14:textId="1A8FF0D2" w:rsidR="00733C0D" w:rsidRDefault="00485528" w:rsidP="00485528">
      <w:pPr>
        <w:jc w:val="center"/>
        <w:rPr>
          <w:sz w:val="40"/>
          <w:szCs w:val="40"/>
        </w:rPr>
      </w:pPr>
      <w:r w:rsidRPr="00485528">
        <w:rPr>
          <w:sz w:val="40"/>
          <w:szCs w:val="40"/>
        </w:rPr>
        <w:t>Comptes de gestion et comptes administratifs 2020</w:t>
      </w:r>
    </w:p>
    <w:p w14:paraId="1F165732" w14:textId="371BE7C4" w:rsidR="00485528" w:rsidRDefault="00485528" w:rsidP="00485528">
      <w:pPr>
        <w:jc w:val="center"/>
        <w:rPr>
          <w:sz w:val="40"/>
          <w:szCs w:val="40"/>
        </w:rPr>
      </w:pPr>
    </w:p>
    <w:p w14:paraId="4497126F" w14:textId="37ECCE98" w:rsidR="00485528" w:rsidRDefault="00485528" w:rsidP="00485528">
      <w:pPr>
        <w:rPr>
          <w:sz w:val="24"/>
          <w:szCs w:val="24"/>
        </w:rPr>
      </w:pPr>
      <w:r>
        <w:rPr>
          <w:sz w:val="24"/>
          <w:szCs w:val="24"/>
        </w:rPr>
        <w:t>Le Conseil municipal s’est réuni Jeudi 4 mars pour procéder à l’examen des comptes de gestion et comptes administratifs de l’année 2020.</w:t>
      </w:r>
    </w:p>
    <w:p w14:paraId="12BE7650" w14:textId="63F2F77B" w:rsidR="00485528" w:rsidRDefault="00485528" w:rsidP="00485528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le budget principal, les comptes de l’année écoulée font état d’un excédent de fonctionnement de 351 432.46 € et d’un résultat déficitaire de 60 737.90 € en investissement, les subventions attendues ayant été versées début 2021. L’excédent global définitif s’élève donc à 290 694.56 €.</w:t>
      </w:r>
    </w:p>
    <w:p w14:paraId="7B0D1BCC" w14:textId="16F67109" w:rsidR="00485528" w:rsidRDefault="00485528" w:rsidP="00485528">
      <w:pPr>
        <w:spacing w:after="0"/>
        <w:rPr>
          <w:sz w:val="24"/>
          <w:szCs w:val="24"/>
        </w:rPr>
      </w:pPr>
      <w:r>
        <w:rPr>
          <w:sz w:val="24"/>
          <w:szCs w:val="24"/>
        </w:rPr>
        <w:t>2020 a été une année transitoire, en raison de la crise sanitaire et de l’installation tardive du Conseil Municipal.  Les dépenses d’équipement se sont élevées en totalité à 298 745.12 €, les plus importantes concernant l’acquisition du cabinet médical (124 000.00 €</w:t>
      </w:r>
      <w:r w:rsidR="006937BE">
        <w:rPr>
          <w:sz w:val="24"/>
          <w:szCs w:val="24"/>
        </w:rPr>
        <w:t>) et le centre socio-culturel (60 724.66 €).</w:t>
      </w:r>
    </w:p>
    <w:p w14:paraId="075B28F6" w14:textId="4F3F0BCE" w:rsidR="006937BE" w:rsidRDefault="006937BE" w:rsidP="00485528">
      <w:pPr>
        <w:spacing w:after="0"/>
        <w:rPr>
          <w:sz w:val="24"/>
          <w:szCs w:val="24"/>
        </w:rPr>
      </w:pPr>
    </w:p>
    <w:p w14:paraId="03AD3BB2" w14:textId="00C17643" w:rsidR="006937BE" w:rsidRDefault="006937BE" w:rsidP="00485528">
      <w:pPr>
        <w:spacing w:after="0"/>
        <w:rPr>
          <w:sz w:val="24"/>
          <w:szCs w:val="24"/>
        </w:rPr>
      </w:pPr>
      <w:r>
        <w:rPr>
          <w:sz w:val="24"/>
          <w:szCs w:val="24"/>
        </w:rPr>
        <w:t>Le service de l’eau fait apparaître un excédent de fonctionnement de 57 821.84 € et un résultat excédentaire de 22 776.14 € en investissement. L’excédent global définitif s’élève donc à 80 597.98 €.</w:t>
      </w:r>
    </w:p>
    <w:p w14:paraId="1B3E4041" w14:textId="77777777" w:rsidR="006937BE" w:rsidRDefault="006937BE" w:rsidP="00485528">
      <w:pPr>
        <w:spacing w:after="0"/>
        <w:rPr>
          <w:sz w:val="24"/>
          <w:szCs w:val="24"/>
        </w:rPr>
      </w:pPr>
    </w:p>
    <w:p w14:paraId="03E47748" w14:textId="172A402B" w:rsidR="00485528" w:rsidRDefault="006937BE" w:rsidP="006937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 service de l’</w:t>
      </w:r>
      <w:r>
        <w:rPr>
          <w:sz w:val="24"/>
          <w:szCs w:val="24"/>
        </w:rPr>
        <w:t>assainissement</w:t>
      </w:r>
      <w:r>
        <w:rPr>
          <w:sz w:val="24"/>
          <w:szCs w:val="24"/>
        </w:rPr>
        <w:t xml:space="preserve"> fait apparaître un excédent de fonctionnement de </w:t>
      </w:r>
      <w:r>
        <w:rPr>
          <w:sz w:val="24"/>
          <w:szCs w:val="24"/>
        </w:rPr>
        <w:t xml:space="preserve">    85 657.15</w:t>
      </w:r>
      <w:r>
        <w:rPr>
          <w:sz w:val="24"/>
          <w:szCs w:val="24"/>
        </w:rPr>
        <w:t xml:space="preserve"> € et un résultat </w:t>
      </w:r>
      <w:r>
        <w:rPr>
          <w:sz w:val="24"/>
          <w:szCs w:val="24"/>
        </w:rPr>
        <w:t xml:space="preserve">déficitaire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26 409.47</w:t>
      </w:r>
      <w:r>
        <w:rPr>
          <w:sz w:val="24"/>
          <w:szCs w:val="24"/>
        </w:rPr>
        <w:t xml:space="preserve"> € en investissement. L’excédent global définitif s’élève donc à </w:t>
      </w:r>
      <w:r>
        <w:rPr>
          <w:sz w:val="24"/>
          <w:szCs w:val="24"/>
        </w:rPr>
        <w:t xml:space="preserve">112 066.62 €. Les dépense d’équipement pour un total </w:t>
      </w:r>
      <w:proofErr w:type="gramStart"/>
      <w:r>
        <w:rPr>
          <w:sz w:val="24"/>
          <w:szCs w:val="24"/>
        </w:rPr>
        <w:t>de  174</w:t>
      </w:r>
      <w:proofErr w:type="gramEnd"/>
      <w:r>
        <w:rPr>
          <w:sz w:val="24"/>
          <w:szCs w:val="24"/>
        </w:rPr>
        <w:t> 319.53 € concerne la réhabilitation du secteur Nord du bourg.</w:t>
      </w:r>
    </w:p>
    <w:p w14:paraId="68EF56D7" w14:textId="40E357BD" w:rsidR="006937BE" w:rsidRDefault="006937BE" w:rsidP="006937BE">
      <w:pPr>
        <w:spacing w:after="0"/>
        <w:rPr>
          <w:sz w:val="24"/>
          <w:szCs w:val="24"/>
        </w:rPr>
      </w:pPr>
    </w:p>
    <w:p w14:paraId="6CA9BB22" w14:textId="638E5C1C" w:rsidR="006937BE" w:rsidRPr="00485528" w:rsidRDefault="006937BE" w:rsidP="006937BE">
      <w:pPr>
        <w:rPr>
          <w:sz w:val="24"/>
          <w:szCs w:val="24"/>
        </w:rPr>
      </w:pPr>
      <w:r>
        <w:rPr>
          <w:sz w:val="24"/>
          <w:szCs w:val="24"/>
        </w:rPr>
        <w:t>Les</w:t>
      </w:r>
      <w:r w:rsidRPr="00693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comptes de gestion et comptes administratifs </w:t>
      </w:r>
      <w:r>
        <w:rPr>
          <w:sz w:val="24"/>
          <w:szCs w:val="24"/>
        </w:rPr>
        <w:t>ont été adoptés à l’unanimité.</w:t>
      </w:r>
    </w:p>
    <w:sectPr w:rsidR="006937BE" w:rsidRPr="0048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28"/>
    <w:rsid w:val="00485528"/>
    <w:rsid w:val="005B76A8"/>
    <w:rsid w:val="006937BE"/>
    <w:rsid w:val="007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0C22"/>
  <w15:chartTrackingRefBased/>
  <w15:docId w15:val="{75076A46-0076-49B5-9FD7-251F137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ROTARY</dc:creator>
  <cp:keywords/>
  <dc:description/>
  <cp:lastModifiedBy>REX ROTARY</cp:lastModifiedBy>
  <cp:revision>1</cp:revision>
  <dcterms:created xsi:type="dcterms:W3CDTF">2021-03-10T10:33:00Z</dcterms:created>
  <dcterms:modified xsi:type="dcterms:W3CDTF">2021-03-10T10:53:00Z</dcterms:modified>
</cp:coreProperties>
</file>